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Annual Review of English </w:t>
      </w:r>
      <w:r>
        <w:rPr>
          <w:b/>
          <w:kern w:val="0"/>
          <w:sz w:val="24"/>
        </w:rPr>
        <w:t>Learning</w:t>
      </w:r>
      <w:r>
        <w:rPr>
          <w:rFonts w:hint="eastAsia"/>
          <w:b/>
          <w:kern w:val="0"/>
          <w:sz w:val="24"/>
        </w:rPr>
        <w:t xml:space="preserve"> and Teaching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</w:t>
      </w:r>
      <w:r>
        <w:rPr>
          <w:rFonts w:hint="eastAsia"/>
          <w:kern w:val="0"/>
          <w:sz w:val="22"/>
        </w:rPr>
        <w:t>2</w:t>
      </w:r>
      <w:r>
        <w:rPr>
          <w:rFonts w:ascii="ＭＳ 明朝" w:hAnsi="ＭＳ 明朝" w:hint="eastAsia"/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Pr="008B2A4A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color w:val="FF0000"/>
          <w:kern w:val="0"/>
          <w:sz w:val="22"/>
        </w:rPr>
      </w:pPr>
      <w:r w:rsidRPr="009843A3">
        <w:rPr>
          <w:rFonts w:ascii="ＭＳ 明朝" w:hAnsi="ＭＳ 明朝" w:hint="eastAsia"/>
          <w:color w:val="FF0000"/>
          <w:kern w:val="0"/>
          <w:sz w:val="22"/>
        </w:rPr>
        <w:t>（</w:t>
      </w:r>
      <w:r w:rsidRPr="009843A3">
        <w:rPr>
          <w:color w:val="FF0000"/>
          <w:kern w:val="0"/>
          <w:sz w:val="22"/>
        </w:rPr>
        <w:t>1</w:t>
      </w:r>
      <w:r w:rsidRPr="009843A3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kern w:val="0"/>
          <w:sz w:val="24"/>
        </w:rPr>
      </w:pPr>
      <w:r>
        <w:rPr>
          <w:b/>
          <w:kern w:val="0"/>
          <w:sz w:val="24"/>
        </w:rPr>
        <w:t xml:space="preserve">Abstract </w:t>
      </w:r>
      <w:r>
        <w:rPr>
          <w:rFonts w:ascii="ＭＳ 明朝" w:hAnsi="ＭＳ 明朝"/>
          <w:kern w:val="0"/>
          <w:sz w:val="24"/>
        </w:rPr>
        <w:t xml:space="preserve">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rFonts w:ascii="ＭＳ 明朝" w:hAnsi="ＭＳ 明朝" w:hint="eastAsia"/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sz w:val="24"/>
        </w:rPr>
        <w:t xml:space="preserve">This refereed journal is named </w:t>
      </w:r>
      <w:r>
        <w:rPr>
          <w:i/>
          <w:sz w:val="24"/>
        </w:rPr>
        <w:t>The JACET Kyushu-Okinawa Chapter Annual Review of English Learning</w:t>
      </w:r>
      <w:r>
        <w:rPr>
          <w:rFonts w:hint="eastAsia"/>
          <w:i/>
          <w:sz w:val="24"/>
        </w:rPr>
        <w:t xml:space="preserve"> </w:t>
      </w:r>
      <w:r>
        <w:rPr>
          <w:i/>
          <w:sz w:val="24"/>
        </w:rPr>
        <w:t>and Teaching</w:t>
      </w:r>
      <w:r>
        <w:rPr>
          <w:sz w:val="24"/>
        </w:rPr>
        <w:t xml:space="preserve"> in English, and </w:t>
      </w:r>
      <w:r>
        <w:rPr>
          <w:i/>
          <w:sz w:val="24"/>
        </w:rPr>
        <w:t>JACET Ky</w:t>
      </w:r>
      <w:r>
        <w:rPr>
          <w:rFonts w:hint="eastAsia"/>
          <w:i/>
          <w:sz w:val="24"/>
        </w:rPr>
        <w:t>u</w:t>
      </w:r>
      <w:r>
        <w:rPr>
          <w:i/>
          <w:sz w:val="24"/>
        </w:rPr>
        <w:t xml:space="preserve">shu-Okinawa Shibu </w:t>
      </w:r>
      <w:proofErr w:type="spellStart"/>
      <w:r>
        <w:rPr>
          <w:i/>
          <w:sz w:val="24"/>
        </w:rPr>
        <w:t>Kenkyuu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Kiyou</w:t>
      </w:r>
      <w:proofErr w:type="spellEnd"/>
      <w:r>
        <w:rPr>
          <w:sz w:val="24"/>
        </w:rPr>
        <w:t xml:space="preserve"> in Japanese. It is</w:t>
      </w:r>
      <w:r>
        <w:rPr>
          <w:rFonts w:hint="eastAsia"/>
          <w:sz w:val="24"/>
        </w:rPr>
        <w:t xml:space="preserve"> </w:t>
      </w:r>
      <w:r>
        <w:rPr>
          <w:sz w:val="24"/>
        </w:rPr>
        <w:t>published once a year.</w:t>
      </w:r>
      <w:r>
        <w:rPr>
          <w:rFonts w:hint="eastAsia"/>
          <w:sz w:val="24"/>
        </w:rPr>
        <w:t xml:space="preserve"> </w:t>
      </w:r>
      <w:r>
        <w:rPr>
          <w:sz w:val="24"/>
        </w:rPr>
        <w:t>…</w:t>
      </w:r>
      <w:r>
        <w:rPr>
          <w:kern w:val="0"/>
          <w:sz w:val="22"/>
        </w:rPr>
        <w:t>(</w:t>
      </w:r>
      <w:r>
        <w:rPr>
          <w:rFonts w:ascii="ＭＳ 明朝" w:hAnsi="ＭＳ 明朝" w:hint="eastAsia"/>
          <w:kern w:val="0"/>
          <w:sz w:val="22"/>
        </w:rPr>
        <w:t xml:space="preserve">英文要約 </w:t>
      </w:r>
      <w:r>
        <w:rPr>
          <w:rFonts w:ascii="ＭＳ 明朝" w:hAnsi="ＭＳ 明朝" w:hint="eastAsia"/>
        </w:rPr>
        <w:t>300 語以内</w:t>
      </w:r>
      <w:r>
        <w:rPr>
          <w:kern w:val="0"/>
          <w:sz w:val="22"/>
        </w:rPr>
        <w:t xml:space="preserve">)  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12)</w:t>
      </w:r>
    </w:p>
    <w:p w:rsidR="0052100E" w:rsidRPr="008B2A4A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hAnsi="ＭＳ 明朝"/>
          <w:color w:val="FF0000"/>
          <w:kern w:val="0"/>
          <w:sz w:val="22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b/>
          <w:i/>
          <w:sz w:val="24"/>
        </w:rPr>
        <w:t>Keywords</w:t>
      </w:r>
      <w:r>
        <w:rPr>
          <w:sz w:val="24"/>
        </w:rPr>
        <w:t xml:space="preserve">: </w:t>
      </w:r>
      <w:r>
        <w:rPr>
          <w:rFonts w:hint="eastAsia"/>
          <w:sz w:val="24"/>
        </w:rPr>
        <w:t>refereed journal</w:t>
      </w:r>
      <w:r>
        <w:rPr>
          <w:sz w:val="24"/>
        </w:rPr>
        <w:t xml:space="preserve">, </w:t>
      </w:r>
      <w:r>
        <w:rPr>
          <w:rFonts w:hint="eastAsia"/>
          <w:sz w:val="24"/>
        </w:rPr>
        <w:t xml:space="preserve">article, research report, research note, submission </w:t>
      </w:r>
      <w:r w:rsidRPr="008B2A4A">
        <w:rPr>
          <w:kern w:val="0"/>
          <w:sz w:val="22"/>
        </w:rPr>
        <w:t xml:space="preserve">(5 </w:t>
      </w:r>
      <w:r>
        <w:rPr>
          <w:rFonts w:ascii="ＭＳ 明朝" w:hAnsi="ＭＳ 明朝" w:hint="eastAsia"/>
        </w:rPr>
        <w:t>語以内</w:t>
      </w:r>
      <w:r>
        <w:rPr>
          <w:kern w:val="0"/>
          <w:sz w:val="22"/>
        </w:rPr>
        <w:t xml:space="preserve">)  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12)</w:t>
      </w:r>
    </w:p>
    <w:p w:rsidR="0052100E" w:rsidRPr="008B2A4A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color w:val="FF0000"/>
          <w:kern w:val="0"/>
          <w:sz w:val="24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kern w:val="0"/>
          <w:sz w:val="24"/>
        </w:rPr>
      </w:pPr>
      <w:r>
        <w:rPr>
          <w:b/>
          <w:kern w:val="0"/>
          <w:sz w:val="24"/>
        </w:rPr>
        <w:t>Introduction</w:t>
      </w:r>
      <w:r>
        <w:rPr>
          <w:rFonts w:ascii="ＭＳ 明朝" w:hAnsi="ＭＳ 明朝"/>
          <w:kern w:val="0"/>
          <w:sz w:val="24"/>
        </w:rPr>
        <w:t xml:space="preserve"> </w:t>
      </w:r>
      <w:r>
        <w:rPr>
          <w:kern w:val="0"/>
          <w:sz w:val="22"/>
        </w:rPr>
        <w:t xml:space="preserve">(Times </w:t>
      </w:r>
      <w:r w:rsidR="005222DB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rFonts w:ascii="ＭＳ 明朝" w:hAnsi="ＭＳ 明朝" w:hint="eastAsia"/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The new direction of college English studies </w:t>
      </w:r>
      <w:r>
        <w:rPr>
          <w:kern w:val="0"/>
          <w:sz w:val="24"/>
        </w:rPr>
        <w:t>....(</w:t>
      </w:r>
      <w:r>
        <w:rPr>
          <w:rFonts w:ascii="ＭＳ 明朝" w:hAnsi="ＭＳ 明朝" w:hint="eastAsia"/>
          <w:kern w:val="0"/>
          <w:sz w:val="22"/>
        </w:rPr>
        <w:t>本文</w:t>
      </w:r>
      <w:r>
        <w:rPr>
          <w:kern w:val="0"/>
          <w:sz w:val="22"/>
        </w:rPr>
        <w:t xml:space="preserve">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4"/>
        </w:rPr>
        <w:t xml:space="preserve">) </w:t>
      </w:r>
    </w:p>
    <w:p w:rsidR="008B2A4A" w:rsidRP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color w:val="FF0000"/>
          <w:kern w:val="0"/>
          <w:sz w:val="24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kern w:val="0"/>
          <w:sz w:val="24"/>
        </w:rPr>
      </w:pPr>
      <w:r>
        <w:rPr>
          <w:rFonts w:hint="eastAsia"/>
          <w:b/>
          <w:kern w:val="0"/>
          <w:sz w:val="24"/>
        </w:rPr>
        <w:t>Research Purpose</w:t>
      </w:r>
      <w:r>
        <w:rPr>
          <w:rFonts w:ascii="ＭＳ 明朝" w:hAnsi="ＭＳ 明朝"/>
          <w:kern w:val="0"/>
          <w:sz w:val="24"/>
        </w:rPr>
        <w:t xml:space="preserve">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rFonts w:ascii="ＭＳ 明朝" w:hAnsi="ＭＳ 明朝" w:hint="eastAsia"/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The purpose of this article is three-fold. Firstly, it explores the possibility …</w:t>
      </w:r>
    </w:p>
    <w:p w:rsidR="008B2A4A" w:rsidRP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color w:val="FF0000"/>
          <w:kern w:val="0"/>
          <w:sz w:val="24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b/>
          <w:kern w:val="0"/>
          <w:sz w:val="24"/>
        </w:rPr>
        <w:t xml:space="preserve">Method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b/>
          <w:i/>
          <w:kern w:val="0"/>
          <w:sz w:val="24"/>
        </w:rPr>
        <w:t>Subsection</w:t>
      </w:r>
      <w:r>
        <w:rPr>
          <w:b/>
          <w:kern w:val="0"/>
          <w:sz w:val="24"/>
        </w:rPr>
        <w:t xml:space="preserve">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2"/>
        </w:rPr>
        <w:t>・太文字</w:t>
      </w:r>
      <w:r>
        <w:rPr>
          <w:rFonts w:hint="eastAsia"/>
          <w:kern w:val="0"/>
          <w:sz w:val="22"/>
        </w:rPr>
        <w:t>・イタリック</w:t>
      </w:r>
      <w:r>
        <w:rPr>
          <w:kern w:val="0"/>
          <w:sz w:val="22"/>
        </w:rPr>
        <w:t>)</w:t>
      </w:r>
      <w:r>
        <w:rPr>
          <w:b/>
          <w:kern w:val="0"/>
          <w:sz w:val="24"/>
        </w:rPr>
        <w:t xml:space="preserve"> 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ab/>
        <w:t xml:space="preserve">The participants in the present study were.... </w:t>
      </w:r>
      <w:bookmarkStart w:id="0" w:name="_GoBack"/>
      <w:bookmarkEnd w:id="0"/>
    </w:p>
    <w:p w:rsidR="0052100E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hAnsi="ＭＳ 明朝"/>
          <w:color w:val="FF0000"/>
          <w:kern w:val="0"/>
          <w:sz w:val="22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Note</w:t>
      </w:r>
      <w:r>
        <w:rPr>
          <w:b/>
          <w:kern w:val="0"/>
          <w:sz w:val="24"/>
        </w:rPr>
        <w:t xml:space="preserve">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hAnsi="ＭＳ 明朝"/>
          <w:color w:val="FF0000"/>
          <w:kern w:val="0"/>
          <w:sz w:val="22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b/>
          <w:kern w:val="0"/>
          <w:sz w:val="24"/>
        </w:rPr>
        <w:t xml:space="preserve">References 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ind w:leftChars="-1" w:left="423" w:hangingChars="173" w:hanging="425"/>
        <w:rPr>
          <w:sz w:val="24"/>
        </w:rPr>
      </w:pPr>
      <w:r>
        <w:rPr>
          <w:sz w:val="24"/>
        </w:rPr>
        <w:t>Eisenstein,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M.(1980). Childhood bilingualism and adult language learning aptitude. </w:t>
      </w:r>
      <w:r>
        <w:rPr>
          <w:i/>
          <w:sz w:val="24"/>
        </w:rPr>
        <w:t>International Review of Applied Psychology, 29</w:t>
      </w:r>
      <w:r>
        <w:rPr>
          <w:sz w:val="24"/>
        </w:rPr>
        <w:t>, 159-172.</w:t>
      </w:r>
    </w:p>
    <w:p w:rsidR="0052100E" w:rsidRDefault="0052100E">
      <w:pPr>
        <w:ind w:left="428" w:hangingChars="174" w:hanging="428"/>
        <w:rPr>
          <w:kern w:val="0"/>
          <w:sz w:val="24"/>
        </w:rPr>
      </w:pPr>
      <w:r>
        <w:rPr>
          <w:kern w:val="0"/>
          <w:sz w:val="24"/>
        </w:rPr>
        <w:t>Oxford, R., &amp; Lee, K. (2008). The learner</w:t>
      </w:r>
      <w:r>
        <w:rPr>
          <w:rFonts w:hint="eastAsia"/>
          <w:kern w:val="0"/>
          <w:sz w:val="24"/>
        </w:rPr>
        <w:t>s</w:t>
      </w:r>
      <w:r>
        <w:rPr>
          <w:kern w:val="0"/>
          <w:sz w:val="24"/>
        </w:rPr>
        <w:t xml:space="preserve">’ landscape and journey: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summary. In C. Griffiths (Ed.), </w:t>
      </w:r>
      <w:r>
        <w:rPr>
          <w:i/>
          <w:kern w:val="0"/>
          <w:sz w:val="24"/>
        </w:rPr>
        <w:t>Lessons from good language learners</w:t>
      </w:r>
      <w:r>
        <w:rPr>
          <w:kern w:val="0"/>
          <w:sz w:val="24"/>
        </w:rPr>
        <w:t xml:space="preserve"> (pp. 306-317). Cambridge, U.K.: Cambridge University Press.</w:t>
      </w:r>
    </w:p>
    <w:p w:rsidR="0052100E" w:rsidRDefault="0052100E">
      <w:pPr>
        <w:ind w:left="425" w:hangingChars="173" w:hanging="425"/>
        <w:rPr>
          <w:sz w:val="24"/>
        </w:rPr>
      </w:pPr>
      <w:r>
        <w:rPr>
          <w:sz w:val="24"/>
        </w:rPr>
        <w:t xml:space="preserve">Schiraldi, G. R. (2001). </w:t>
      </w:r>
      <w:r>
        <w:rPr>
          <w:i/>
          <w:sz w:val="24"/>
        </w:rPr>
        <w:t>The post-traumatic stress disorder sourcebook: A guide to healing,        recovery, and growth</w:t>
      </w:r>
      <w:r>
        <w:rPr>
          <w:sz w:val="24"/>
        </w:rPr>
        <w:t xml:space="preserve"> [Adobe Digital Editions version].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10.1036/0071393722</w:t>
      </w:r>
    </w:p>
    <w:p w:rsidR="0052100E" w:rsidRDefault="0052100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XXXX (2010).</w:t>
      </w:r>
      <w:r>
        <w:rPr>
          <w:kern w:val="0"/>
          <w:sz w:val="22"/>
        </w:rPr>
        <w:t xml:space="preserve"> </w:t>
      </w:r>
      <w:r>
        <w:rPr>
          <w:kern w:val="0"/>
          <w:sz w:val="22"/>
        </w:rPr>
        <w:t>（</w:t>
      </w:r>
      <w:r>
        <w:rPr>
          <w:rFonts w:hint="eastAsia"/>
          <w:kern w:val="0"/>
          <w:sz w:val="22"/>
        </w:rPr>
        <w:t>本人が執筆した文献等は</w:t>
      </w:r>
      <w:r>
        <w:rPr>
          <w:rFonts w:hint="eastAsia"/>
          <w:kern w:val="0"/>
          <w:sz w:val="22"/>
        </w:rPr>
        <w:t xml:space="preserve">XXXX </w:t>
      </w:r>
      <w:r>
        <w:rPr>
          <w:rFonts w:hint="eastAsia"/>
          <w:kern w:val="0"/>
          <w:sz w:val="22"/>
        </w:rPr>
        <w:t>と出版年だけにして最後に記載する）</w:t>
      </w:r>
    </w:p>
    <w:p w:rsid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hAnsi="ＭＳ 明朝"/>
          <w:color w:val="FF0000"/>
          <w:kern w:val="0"/>
          <w:sz w:val="22"/>
        </w:rPr>
      </w:pPr>
      <w:r w:rsidRPr="008B2A4A">
        <w:rPr>
          <w:rFonts w:ascii="ＭＳ 明朝" w:hAnsi="ＭＳ 明朝" w:hint="eastAsia"/>
          <w:color w:val="FF0000"/>
          <w:kern w:val="0"/>
          <w:sz w:val="22"/>
        </w:rPr>
        <w:t>（</w:t>
      </w:r>
      <w:r w:rsidRPr="008B2A4A">
        <w:rPr>
          <w:color w:val="FF0000"/>
          <w:kern w:val="0"/>
          <w:sz w:val="22"/>
        </w:rPr>
        <w:t>1</w:t>
      </w:r>
      <w:r w:rsidRPr="008B2A4A">
        <w:rPr>
          <w:rFonts w:ascii="ＭＳ 明朝" w:hAnsi="ＭＳ 明朝" w:hint="eastAsia"/>
          <w:color w:val="FF0000"/>
          <w:kern w:val="0"/>
          <w:sz w:val="22"/>
        </w:rPr>
        <w:t>行空ける）</w:t>
      </w:r>
    </w:p>
    <w:p w:rsidR="008B2A4A" w:rsidRDefault="008B2A4A" w:rsidP="008B2A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Appendix</w:t>
      </w:r>
      <w:r>
        <w:rPr>
          <w:b/>
          <w:kern w:val="0"/>
          <w:sz w:val="24"/>
        </w:rPr>
        <w:t xml:space="preserve">  </w:t>
      </w:r>
      <w:r>
        <w:rPr>
          <w:kern w:val="0"/>
          <w:sz w:val="22"/>
        </w:rPr>
        <w:t xml:space="preserve">(Times </w:t>
      </w:r>
      <w:r w:rsidR="00444770">
        <w:rPr>
          <w:kern w:val="0"/>
          <w:sz w:val="22"/>
        </w:rPr>
        <w:t xml:space="preserve">New Roman </w:t>
      </w:r>
      <w:r>
        <w:rPr>
          <w:kern w:val="0"/>
          <w:sz w:val="22"/>
        </w:rPr>
        <w:t>12</w:t>
      </w:r>
      <w:r>
        <w:rPr>
          <w:kern w:val="0"/>
          <w:sz w:val="22"/>
        </w:rPr>
        <w:t>・太文字</w:t>
      </w:r>
      <w:r>
        <w:rPr>
          <w:kern w:val="0"/>
          <w:sz w:val="22"/>
        </w:rPr>
        <w:t>)</w:t>
      </w:r>
    </w:p>
    <w:p w:rsidR="0052100E" w:rsidRDefault="0052100E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Chars="183" w:hanging="450"/>
        <w:jc w:val="left"/>
        <w:rPr>
          <w:kern w:val="0"/>
          <w:sz w:val="24"/>
        </w:rPr>
      </w:pPr>
    </w:p>
    <w:sectPr w:rsidR="0052100E">
      <w:pgSz w:w="11906" w:h="16838"/>
      <w:pgMar w:top="1134" w:right="1418" w:bottom="1701" w:left="1418" w:header="0" w:footer="0" w:gutter="0"/>
      <w:cols w:space="720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4B" w:rsidRDefault="00BC204B">
      <w:r>
        <w:separator/>
      </w:r>
    </w:p>
  </w:endnote>
  <w:endnote w:type="continuationSeparator" w:id="0">
    <w:p w:rsidR="00BC204B" w:rsidRDefault="00BC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4B" w:rsidRDefault="00BC204B">
      <w:r>
        <w:separator/>
      </w:r>
    </w:p>
  </w:footnote>
  <w:footnote w:type="continuationSeparator" w:id="0">
    <w:p w:rsidR="00BC204B" w:rsidRDefault="00BC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8"/>
  <w:drawingGridHorizontalSpacing w:val="108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3F3"/>
    <w:rsid w:val="001605FC"/>
    <w:rsid w:val="003473F3"/>
    <w:rsid w:val="00365849"/>
    <w:rsid w:val="00444770"/>
    <w:rsid w:val="0052100E"/>
    <w:rsid w:val="005222DB"/>
    <w:rsid w:val="006A042A"/>
    <w:rsid w:val="006F447E"/>
    <w:rsid w:val="008B2A4A"/>
    <w:rsid w:val="009843A3"/>
    <w:rsid w:val="00B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8837"/>
  <w15:docId w15:val="{3D21DD2D-DBE8-4393-8917-4E74034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480" w:lineRule="auto"/>
      <w:jc w:val="center"/>
    </w:pPr>
    <w:rPr>
      <w:b/>
      <w:sz w:val="32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character" w:customStyle="1" w:styleId="a5">
    <w:name w:val="フッター (文字)"/>
    <w:link w:val="a4"/>
    <w:rPr>
      <w:rFonts w:ascii="Times New Roman" w:hAnsi="Times New Roman"/>
      <w:kern w:val="2"/>
      <w:sz w:val="24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Times New Roman" w:hAnsi="Times New Roman"/>
      <w:kern w:val="2"/>
      <w:sz w:val="24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Times New Roman" w:hAnsi="Times New Roman"/>
      <w:b/>
      <w:kern w:val="2"/>
      <w:sz w:val="24"/>
      <w:lang w:val="en-US" w:eastAsia="ja-JP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paragraph" w:styleId="af0">
    <w:name w:val="Document Map"/>
    <w:basedOn w:val="a"/>
    <w:link w:val="af1"/>
    <w:semiHidden/>
    <w:rPr>
      <w:rFonts w:ascii="MS UI Gothic" w:eastAsia="MS UI Gothic" w:hAnsi="MS UI Gothic"/>
      <w:sz w:val="18"/>
    </w:rPr>
  </w:style>
  <w:style w:type="character" w:customStyle="1" w:styleId="af1">
    <w:name w:val="見出しマップ (文字)"/>
    <w:link w:val="af0"/>
    <w:rPr>
      <w:rFonts w:ascii="MS UI Gothic" w:eastAsia="MS UI Gothic" w:hAnsi="MS UI Gothic"/>
      <w:kern w:val="2"/>
      <w:sz w:val="18"/>
      <w:lang w:val="en-US" w:eastAsia="ja-JP"/>
    </w:rPr>
  </w:style>
  <w:style w:type="character" w:customStyle="1" w:styleId="a7">
    <w:name w:val="ヘッダー (文字)"/>
    <w:link w:val="a6"/>
    <w:rPr>
      <w:rFonts w:ascii="Times New Roman" w:hAnsi="Times New Roman"/>
      <w:kern w:val="2"/>
      <w:sz w:val="21"/>
      <w:lang w:val="en-US" w:eastAsia="ja-JP"/>
    </w:rPr>
  </w:style>
  <w:style w:type="paragraph" w:customStyle="1" w:styleId="41">
    <w:name w:val="表 (青)  41"/>
    <w:qFormat/>
    <w:rPr>
      <w:sz w:val="22"/>
    </w:rPr>
  </w:style>
  <w:style w:type="character" w:styleId="af2">
    <w:name w:val="Hyperlink"/>
    <w:rPr>
      <w:color w:val="0000FF"/>
      <w:u w:val="single"/>
      <w:lang w:val="en-US" w:eastAsia="ja-JP"/>
    </w:rPr>
  </w:style>
  <w:style w:type="table" w:customStyle="1" w:styleId="af3">
    <w:name w:val="表の書式（修論）"/>
    <w:basedOn w:val="1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1">
    <w:name w:val="Table Simple 1"/>
    <w:basedOn w:val="a1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ARELE 23 Template (English)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ARELE 23 Template (English)</dc:title>
  <dc:creator>kanaoka</dc:creator>
  <cp:lastModifiedBy>User</cp:lastModifiedBy>
  <cp:revision>6</cp:revision>
  <cp:lastPrinted>2017-10-25T06:46:00Z</cp:lastPrinted>
  <dcterms:created xsi:type="dcterms:W3CDTF">2018-10-19T06:38:00Z</dcterms:created>
  <dcterms:modified xsi:type="dcterms:W3CDTF">2018-11-24T09:47:00Z</dcterms:modified>
</cp:coreProperties>
</file>